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4E0" w:rsidRPr="00035796" w:rsidRDefault="008564E0" w:rsidP="008564E0">
      <w:pPr>
        <w:spacing w:after="134" w:line="240" w:lineRule="auto"/>
        <w:jc w:val="center"/>
        <w:outlineLvl w:val="0"/>
        <w:rPr>
          <w:rFonts w:ascii="Segoe UI" w:eastAsia="Times New Roman" w:hAnsi="Segoe UI" w:cs="Segoe UI"/>
          <w:b/>
          <w:bCs/>
          <w:color w:val="FF0000"/>
          <w:kern w:val="36"/>
          <w:sz w:val="44"/>
          <w:szCs w:val="40"/>
          <w:u w:val="single"/>
        </w:rPr>
      </w:pPr>
      <w:r>
        <w:rPr>
          <w:rFonts w:ascii="Segoe UI" w:eastAsia="Times New Roman" w:hAnsi="Segoe UI" w:cs="Segoe UI"/>
          <w:b/>
          <w:bCs/>
          <w:color w:val="FF0000"/>
          <w:kern w:val="36"/>
          <w:sz w:val="44"/>
          <w:szCs w:val="40"/>
          <w:u w:val="single"/>
        </w:rPr>
        <w:t>10 MCQs – Abdomen Wall, Inguinal Region</w:t>
      </w:r>
    </w:p>
    <w:p w:rsidR="008564E0" w:rsidRPr="00035796" w:rsidRDefault="008564E0" w:rsidP="008564E0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0070C0"/>
          <w:kern w:val="36"/>
          <w:sz w:val="32"/>
          <w:szCs w:val="28"/>
        </w:rPr>
      </w:pPr>
      <w:r w:rsidRPr="00035796">
        <w:rPr>
          <w:rFonts w:ascii="Arial" w:eastAsia="Times New Roman" w:hAnsi="Arial" w:cs="Arial"/>
          <w:b/>
          <w:bCs/>
          <w:color w:val="0070C0"/>
          <w:kern w:val="36"/>
          <w:sz w:val="32"/>
          <w:szCs w:val="28"/>
        </w:rPr>
        <w:t>Dr. Praveen Kumar Kurrey</w:t>
      </w:r>
    </w:p>
    <w:p w:rsidR="008564E0" w:rsidRDefault="008564E0" w:rsidP="008564E0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  <w:t>MBBS, MS, BCME, BCBR</w:t>
      </w:r>
    </w:p>
    <w:p w:rsidR="008564E0" w:rsidRDefault="008564E0" w:rsidP="008564E0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  <w:t>PROFESSOR  ANATOMY</w:t>
      </w:r>
    </w:p>
    <w:p w:rsidR="008564E0" w:rsidRDefault="008564E0" w:rsidP="008564E0">
      <w:pPr>
        <w:spacing w:after="0" w:line="240" w:lineRule="auto"/>
        <w:outlineLvl w:val="2"/>
        <w:rPr>
          <w:rFonts w:ascii="Segoe UI" w:eastAsia="Times New Roman" w:hAnsi="Segoe UI" w:cs="Segoe UI"/>
          <w:b/>
          <w:bCs/>
          <w:color w:val="0D0D0D"/>
          <w:sz w:val="30"/>
        </w:rPr>
      </w:pPr>
    </w:p>
    <w:p w:rsidR="008564E0" w:rsidRPr="00F41FD2" w:rsidRDefault="008564E0" w:rsidP="008564E0">
      <w:pPr>
        <w:spacing w:after="0" w:line="240" w:lineRule="auto"/>
        <w:outlineLvl w:val="2"/>
        <w:rPr>
          <w:rFonts w:ascii="Segoe UI" w:eastAsia="Times New Roman" w:hAnsi="Segoe UI" w:cs="Segoe UI"/>
          <w:b/>
          <w:bCs/>
          <w:color w:val="0D0D0D"/>
          <w:sz w:val="30"/>
          <w:szCs w:val="30"/>
        </w:rPr>
      </w:pPr>
      <w:r w:rsidRPr="00F41FD2">
        <w:rPr>
          <w:rFonts w:ascii="Segoe UI" w:eastAsia="Times New Roman" w:hAnsi="Segoe UI" w:cs="Segoe UI"/>
          <w:b/>
          <w:bCs/>
          <w:color w:val="0D0D0D"/>
          <w:sz w:val="30"/>
        </w:rPr>
        <w:t>Abdominal Wall &amp; Inguinal Region</w:t>
      </w:r>
    </w:p>
    <w:p w:rsidR="008564E0" w:rsidRPr="00F41FD2" w:rsidRDefault="008564E0" w:rsidP="008564E0">
      <w:pPr>
        <w:numPr>
          <w:ilvl w:val="0"/>
          <w:numId w:val="1"/>
        </w:numPr>
        <w:spacing w:after="0" w:line="240" w:lineRule="auto"/>
        <w:ind w:left="0"/>
        <w:rPr>
          <w:rFonts w:ascii="Segoe UI" w:eastAsia="Times New Roman" w:hAnsi="Segoe UI" w:cs="Segoe UI"/>
          <w:color w:val="0D0D0D"/>
          <w:sz w:val="27"/>
          <w:szCs w:val="27"/>
        </w:rPr>
      </w:pP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t>Which of the following forms the posterior wall of the inguinal canal?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a) Transversalis fascia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b) External oblique aponeurosis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c) Internal oblique muscle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d) Conjoint tendon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</w:r>
      <w:r w:rsidRPr="00F41FD2">
        <w:rPr>
          <w:rFonts w:ascii="Segoe UI" w:eastAsia="Times New Roman" w:hAnsi="Segoe UI" w:cs="Segoe UI"/>
          <w:b/>
          <w:bCs/>
          <w:color w:val="0D0D0D"/>
          <w:sz w:val="27"/>
        </w:rPr>
        <w:t>Answer: a) Transversalis fascia</w:t>
      </w:r>
    </w:p>
    <w:p w:rsidR="008564E0" w:rsidRPr="00F41FD2" w:rsidRDefault="008564E0" w:rsidP="008564E0">
      <w:pPr>
        <w:numPr>
          <w:ilvl w:val="0"/>
          <w:numId w:val="1"/>
        </w:numPr>
        <w:spacing w:after="0" w:line="240" w:lineRule="auto"/>
        <w:ind w:left="0"/>
        <w:rPr>
          <w:rFonts w:ascii="Segoe UI" w:eastAsia="Times New Roman" w:hAnsi="Segoe UI" w:cs="Segoe UI"/>
          <w:color w:val="0D0D0D"/>
          <w:sz w:val="27"/>
          <w:szCs w:val="27"/>
        </w:rPr>
      </w:pP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t>Deep inguinal ring is an opening in: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a) External oblique aponeurosis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b) Internal oblique aponeurosis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c) Transversalis fascia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d) Rectus sheath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</w:r>
      <w:r w:rsidRPr="00F41FD2">
        <w:rPr>
          <w:rFonts w:ascii="Segoe UI" w:eastAsia="Times New Roman" w:hAnsi="Segoe UI" w:cs="Segoe UI"/>
          <w:b/>
          <w:bCs/>
          <w:color w:val="0D0D0D"/>
          <w:sz w:val="27"/>
        </w:rPr>
        <w:t>Answer: c) Transversalis fascia</w:t>
      </w:r>
    </w:p>
    <w:p w:rsidR="008564E0" w:rsidRPr="00F41FD2" w:rsidRDefault="008564E0" w:rsidP="008564E0">
      <w:pPr>
        <w:numPr>
          <w:ilvl w:val="0"/>
          <w:numId w:val="1"/>
        </w:numPr>
        <w:spacing w:after="0" w:line="240" w:lineRule="auto"/>
        <w:ind w:left="0"/>
        <w:rPr>
          <w:rFonts w:ascii="Segoe UI" w:eastAsia="Times New Roman" w:hAnsi="Segoe UI" w:cs="Segoe UI"/>
          <w:color w:val="0D0D0D"/>
          <w:sz w:val="27"/>
          <w:szCs w:val="27"/>
        </w:rPr>
      </w:pP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t>The inguinal ligament is derived from: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a) Internal oblique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b) External oblique aponeurosis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c) Transversalis fascia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d) Rectus abdominis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</w:r>
      <w:r w:rsidRPr="00F41FD2">
        <w:rPr>
          <w:rFonts w:ascii="Segoe UI" w:eastAsia="Times New Roman" w:hAnsi="Segoe UI" w:cs="Segoe UI"/>
          <w:b/>
          <w:bCs/>
          <w:color w:val="0D0D0D"/>
          <w:sz w:val="27"/>
        </w:rPr>
        <w:t>Answer: b) External oblique aponeurosis</w:t>
      </w:r>
    </w:p>
    <w:p w:rsidR="008564E0" w:rsidRPr="00F41FD2" w:rsidRDefault="008564E0" w:rsidP="008564E0">
      <w:pPr>
        <w:numPr>
          <w:ilvl w:val="0"/>
          <w:numId w:val="1"/>
        </w:numPr>
        <w:spacing w:after="0" w:line="240" w:lineRule="auto"/>
        <w:ind w:left="0"/>
        <w:rPr>
          <w:rFonts w:ascii="Segoe UI" w:eastAsia="Times New Roman" w:hAnsi="Segoe UI" w:cs="Segoe UI"/>
          <w:color w:val="0D0D0D"/>
          <w:sz w:val="27"/>
          <w:szCs w:val="27"/>
        </w:rPr>
      </w:pP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t>The conjoint tendon is formed by: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a) Transversus abdominis &amp; internal oblique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b) External oblique &amp; rectus abdominis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c) Rectus abdominis &amp; pyramidalis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d) Transversus abdominis &amp; rectus abdominis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</w:r>
      <w:r w:rsidRPr="00F41FD2">
        <w:rPr>
          <w:rFonts w:ascii="Segoe UI" w:eastAsia="Times New Roman" w:hAnsi="Segoe UI" w:cs="Segoe UI"/>
          <w:b/>
          <w:bCs/>
          <w:color w:val="0D0D0D"/>
          <w:sz w:val="27"/>
        </w:rPr>
        <w:t>Answer: a) Transversus abdominis &amp; internal oblique</w:t>
      </w:r>
    </w:p>
    <w:p w:rsidR="008564E0" w:rsidRPr="00F41FD2" w:rsidRDefault="008564E0" w:rsidP="008564E0">
      <w:pPr>
        <w:numPr>
          <w:ilvl w:val="0"/>
          <w:numId w:val="1"/>
        </w:numPr>
        <w:spacing w:after="0" w:line="240" w:lineRule="auto"/>
        <w:ind w:left="0"/>
        <w:rPr>
          <w:rFonts w:ascii="Segoe UI" w:eastAsia="Times New Roman" w:hAnsi="Segoe UI" w:cs="Segoe UI"/>
          <w:color w:val="0D0D0D"/>
          <w:sz w:val="27"/>
          <w:szCs w:val="27"/>
        </w:rPr>
      </w:pP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t>Cremaster muscle is derived from: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a) External oblique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b) Internal oblique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c) Transversus abdominis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lastRenderedPageBreak/>
        <w:t>d) Rectus abdominis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</w:r>
      <w:r w:rsidRPr="00F41FD2">
        <w:rPr>
          <w:rFonts w:ascii="Segoe UI" w:eastAsia="Times New Roman" w:hAnsi="Segoe UI" w:cs="Segoe UI"/>
          <w:b/>
          <w:bCs/>
          <w:color w:val="0D0D0D"/>
          <w:sz w:val="27"/>
        </w:rPr>
        <w:t>Answer: b) Internal oblique</w:t>
      </w:r>
    </w:p>
    <w:p w:rsidR="008564E0" w:rsidRPr="00F41FD2" w:rsidRDefault="008564E0" w:rsidP="008564E0">
      <w:pPr>
        <w:spacing w:before="720" w:after="720" w:line="240" w:lineRule="auto"/>
        <w:rPr>
          <w:rFonts w:ascii="Segoe UI" w:eastAsia="Times New Roman" w:hAnsi="Segoe UI" w:cs="Segoe UI"/>
          <w:color w:val="0D0D0D"/>
          <w:sz w:val="27"/>
          <w:szCs w:val="27"/>
        </w:rPr>
      </w:pPr>
      <w:r w:rsidRPr="005B3C30">
        <w:rPr>
          <w:rFonts w:ascii="Segoe UI" w:eastAsia="Times New Roman" w:hAnsi="Segoe UI" w:cs="Segoe UI"/>
          <w:color w:val="0D0D0D"/>
          <w:sz w:val="27"/>
          <w:szCs w:val="27"/>
        </w:rPr>
        <w:pict>
          <v:rect id="_x0000_i1025" style="width:0;height:0" o:hralign="center" o:hrstd="t" o:hr="t" fillcolor="#a0a0a0" stroked="f"/>
        </w:pict>
      </w:r>
    </w:p>
    <w:p w:rsidR="008564E0" w:rsidRPr="00F41FD2" w:rsidRDefault="008564E0" w:rsidP="008564E0">
      <w:pPr>
        <w:spacing w:after="0" w:line="240" w:lineRule="auto"/>
        <w:outlineLvl w:val="2"/>
        <w:rPr>
          <w:rFonts w:ascii="Segoe UI" w:eastAsia="Times New Roman" w:hAnsi="Segoe UI" w:cs="Segoe UI"/>
          <w:b/>
          <w:bCs/>
          <w:color w:val="0D0D0D"/>
          <w:sz w:val="30"/>
          <w:szCs w:val="30"/>
        </w:rPr>
      </w:pPr>
      <w:r w:rsidRPr="00F41FD2">
        <w:rPr>
          <w:rFonts w:ascii="Segoe UI" w:eastAsia="Times New Roman" w:hAnsi="Segoe UI" w:cs="Segoe UI"/>
          <w:b/>
          <w:bCs/>
          <w:color w:val="0D0D0D"/>
          <w:sz w:val="30"/>
        </w:rPr>
        <w:t>Peritoneum &amp; Mesenteries</w:t>
      </w:r>
    </w:p>
    <w:p w:rsidR="008564E0" w:rsidRPr="00F41FD2" w:rsidRDefault="008564E0" w:rsidP="008564E0">
      <w:pPr>
        <w:numPr>
          <w:ilvl w:val="0"/>
          <w:numId w:val="2"/>
        </w:numPr>
        <w:spacing w:after="0" w:line="240" w:lineRule="auto"/>
        <w:ind w:left="0"/>
        <w:rPr>
          <w:rFonts w:ascii="Segoe UI" w:eastAsia="Times New Roman" w:hAnsi="Segoe UI" w:cs="Segoe UI"/>
          <w:color w:val="0D0D0D"/>
          <w:sz w:val="27"/>
          <w:szCs w:val="27"/>
        </w:rPr>
      </w:pP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t>The greater omentum is attached to: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a) Lesser curvature of stomach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b) Greater curvature of stomach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c) Transverse colon only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d) Pancreas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</w:r>
      <w:r w:rsidRPr="00F41FD2">
        <w:rPr>
          <w:rFonts w:ascii="Segoe UI" w:eastAsia="Times New Roman" w:hAnsi="Segoe UI" w:cs="Segoe UI"/>
          <w:b/>
          <w:bCs/>
          <w:color w:val="0D0D0D"/>
          <w:sz w:val="27"/>
        </w:rPr>
        <w:t>Answer: b) Greater curvature of stomach</w:t>
      </w:r>
    </w:p>
    <w:p w:rsidR="008564E0" w:rsidRPr="00F41FD2" w:rsidRDefault="008564E0" w:rsidP="008564E0">
      <w:pPr>
        <w:numPr>
          <w:ilvl w:val="0"/>
          <w:numId w:val="2"/>
        </w:numPr>
        <w:spacing w:after="0" w:line="240" w:lineRule="auto"/>
        <w:ind w:left="0"/>
        <w:rPr>
          <w:rFonts w:ascii="Segoe UI" w:eastAsia="Times New Roman" w:hAnsi="Segoe UI" w:cs="Segoe UI"/>
          <w:color w:val="0D0D0D"/>
          <w:sz w:val="27"/>
          <w:szCs w:val="27"/>
        </w:rPr>
      </w:pP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t>The lesser sac communicates with the greater sac via: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a) Epiploic foramen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b) Inguinal canal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c) Femoral ring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d) Umbilical ring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</w:r>
      <w:r w:rsidRPr="00F41FD2">
        <w:rPr>
          <w:rFonts w:ascii="Segoe UI" w:eastAsia="Times New Roman" w:hAnsi="Segoe UI" w:cs="Segoe UI"/>
          <w:b/>
          <w:bCs/>
          <w:color w:val="0D0D0D"/>
          <w:sz w:val="27"/>
        </w:rPr>
        <w:t>Answer: a) Epiploic foramen</w:t>
      </w:r>
    </w:p>
    <w:p w:rsidR="008564E0" w:rsidRPr="00F41FD2" w:rsidRDefault="008564E0" w:rsidP="008564E0">
      <w:pPr>
        <w:numPr>
          <w:ilvl w:val="0"/>
          <w:numId w:val="2"/>
        </w:numPr>
        <w:spacing w:after="0" w:line="240" w:lineRule="auto"/>
        <w:ind w:left="0"/>
        <w:rPr>
          <w:rFonts w:ascii="Segoe UI" w:eastAsia="Times New Roman" w:hAnsi="Segoe UI" w:cs="Segoe UI"/>
          <w:color w:val="0D0D0D"/>
          <w:sz w:val="27"/>
          <w:szCs w:val="27"/>
        </w:rPr>
      </w:pP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t>Which organ is retroperitoneal?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a) Stomach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b) Jejunum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c) Duodenum (2nd part)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d) Spleen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</w:r>
      <w:r w:rsidRPr="00F41FD2">
        <w:rPr>
          <w:rFonts w:ascii="Segoe UI" w:eastAsia="Times New Roman" w:hAnsi="Segoe UI" w:cs="Segoe UI"/>
          <w:b/>
          <w:bCs/>
          <w:color w:val="0D0D0D"/>
          <w:sz w:val="27"/>
        </w:rPr>
        <w:t>Answer: c) Duodenum (2nd part)</w:t>
      </w:r>
    </w:p>
    <w:p w:rsidR="008564E0" w:rsidRPr="00F41FD2" w:rsidRDefault="008564E0" w:rsidP="008564E0">
      <w:pPr>
        <w:numPr>
          <w:ilvl w:val="0"/>
          <w:numId w:val="2"/>
        </w:numPr>
        <w:spacing w:after="0" w:line="240" w:lineRule="auto"/>
        <w:ind w:left="0"/>
        <w:rPr>
          <w:rFonts w:ascii="Segoe UI" w:eastAsia="Times New Roman" w:hAnsi="Segoe UI" w:cs="Segoe UI"/>
          <w:color w:val="0D0D0D"/>
          <w:sz w:val="27"/>
          <w:szCs w:val="27"/>
        </w:rPr>
      </w:pP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t>The falciform ligament connects: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a) Liver to stomach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b) Liver to diaphragm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c) Liver to anterior abdominal wall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d) Liver to duodenum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</w:r>
      <w:r w:rsidRPr="00F41FD2">
        <w:rPr>
          <w:rFonts w:ascii="Segoe UI" w:eastAsia="Times New Roman" w:hAnsi="Segoe UI" w:cs="Segoe UI"/>
          <w:b/>
          <w:bCs/>
          <w:color w:val="0D0D0D"/>
          <w:sz w:val="27"/>
        </w:rPr>
        <w:t>Answer: c) Liver to anterior abdominal wall</w:t>
      </w:r>
    </w:p>
    <w:p w:rsidR="008564E0" w:rsidRPr="00F41FD2" w:rsidRDefault="008564E0" w:rsidP="008564E0">
      <w:pPr>
        <w:numPr>
          <w:ilvl w:val="0"/>
          <w:numId w:val="2"/>
        </w:numPr>
        <w:spacing w:after="0" w:line="240" w:lineRule="auto"/>
        <w:ind w:left="0"/>
        <w:rPr>
          <w:rFonts w:ascii="Segoe UI" w:eastAsia="Times New Roman" w:hAnsi="Segoe UI" w:cs="Segoe UI"/>
          <w:color w:val="0D0D0D"/>
          <w:sz w:val="27"/>
          <w:szCs w:val="27"/>
        </w:rPr>
      </w:pP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t>The root of the mesentery crosses all EXCEPT: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a) Duodenum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b) Aorta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lastRenderedPageBreak/>
        <w:t>c) Inferior vena cava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d) Spleen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</w:r>
      <w:r w:rsidRPr="00F41FD2">
        <w:rPr>
          <w:rFonts w:ascii="Segoe UI" w:eastAsia="Times New Roman" w:hAnsi="Segoe UI" w:cs="Segoe UI"/>
          <w:b/>
          <w:bCs/>
          <w:color w:val="0D0D0D"/>
          <w:sz w:val="27"/>
        </w:rPr>
        <w:t>Answer: d) Spleen</w:t>
      </w:r>
    </w:p>
    <w:p w:rsidR="00D7344B" w:rsidRDefault="00D7344B"/>
    <w:sectPr w:rsidR="00D7344B" w:rsidSect="00D734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F4560"/>
    <w:multiLevelType w:val="multilevel"/>
    <w:tmpl w:val="5DE8094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5466D4"/>
    <w:multiLevelType w:val="multilevel"/>
    <w:tmpl w:val="B5483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8564E0"/>
    <w:rsid w:val="008564E0"/>
    <w:rsid w:val="00D73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4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277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2025-09-03T07:04:00Z</dcterms:created>
  <dcterms:modified xsi:type="dcterms:W3CDTF">2025-09-03T07:05:00Z</dcterms:modified>
</cp:coreProperties>
</file>